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0"/>
          <w:sz w:val="22"/>
        </w:rPr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drawing>
          <wp:inline>
            <wp:extent cx="403225" cy="53771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03225" cy="53771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rPr>
          <w:b w:val="0"/>
          <w:sz w:val="22"/>
        </w:rPr>
      </w:pPr>
    </w:p>
    <w:p w14:paraId="03000000">
      <w:pPr>
        <w:pStyle w:val="Style_1"/>
        <w:rPr>
          <w:b w:val="0"/>
          <w:sz w:val="20"/>
        </w:rPr>
      </w:pPr>
      <w:r>
        <w:rPr>
          <w:rStyle w:val="Style_2_ch"/>
          <w:b w:val="0"/>
          <w:sz w:val="20"/>
        </w:rPr>
        <w:t>АДМИНИСТРАЦИЯ</w:t>
      </w:r>
      <w:r>
        <w:rPr>
          <w:rStyle w:val="Style_2_ch"/>
          <w:sz w:val="20"/>
        </w:rPr>
        <w:t xml:space="preserve"> </w:t>
      </w:r>
      <w:r>
        <w:rPr>
          <w:b w:val="0"/>
          <w:sz w:val="20"/>
        </w:rPr>
        <w:t>БЕЛОЗЕРСКОГО  МУНИЦИПАЛЬНОГО РАЙОНА ВОЛОГОДСКОЙ ОБЛАСТИ</w:t>
      </w:r>
    </w:p>
    <w:p w14:paraId="04000000">
      <w:pPr>
        <w:pStyle w:val="Style_1"/>
      </w:pPr>
    </w:p>
    <w:p w14:paraId="05000000">
      <w:pPr>
        <w:pStyle w:val="Style_1"/>
      </w:pPr>
      <w:r>
        <w:t>П</w:t>
      </w:r>
      <w:r>
        <w:t xml:space="preserve"> О С Т А Н О В Л Е Н И Е</w:t>
      </w:r>
    </w:p>
    <w:p w14:paraId="06000000">
      <w:pPr>
        <w:ind/>
        <w:jc w:val="center"/>
        <w:rPr>
          <w:b w:val="1"/>
          <w:sz w:val="36"/>
        </w:rPr>
      </w:pPr>
    </w:p>
    <w:p w14:paraId="07000000">
      <w:pPr>
        <w:ind/>
        <w:jc w:val="center"/>
        <w:rPr>
          <w:sz w:val="28"/>
        </w:rPr>
      </w:pPr>
    </w:p>
    <w:p w14:paraId="08000000">
      <w:pPr>
        <w:pStyle w:val="Style_3"/>
        <w:rPr>
          <w:sz w:val="28"/>
        </w:rPr>
      </w:pPr>
      <w:r>
        <w:rPr>
          <w:sz w:val="28"/>
        </w:rPr>
        <w:t>От 11.11.2022   №  413</w:t>
      </w:r>
    </w:p>
    <w:p w14:paraId="09000000"/>
    <w:p w14:paraId="0A000000"/>
    <w:p w14:paraId="0B000000">
      <w:pPr>
        <w:ind w:right="5034"/>
        <w:jc w:val="both"/>
        <w:rPr>
          <w:sz w:val="28"/>
        </w:rPr>
      </w:pPr>
      <w:r>
        <w:rPr>
          <w:sz w:val="28"/>
        </w:rPr>
        <w:t xml:space="preserve">О прогнозе социально-экономического развития Белозерского муниципального округа Вологодской области </w:t>
      </w:r>
      <w:r>
        <w:rPr>
          <w:sz w:val="28"/>
        </w:rPr>
        <w:t>на 2023-2025 годы</w:t>
      </w:r>
    </w:p>
    <w:p w14:paraId="0C000000">
      <w:pPr>
        <w:rPr>
          <w:sz w:val="28"/>
        </w:rPr>
      </w:pPr>
    </w:p>
    <w:p w14:paraId="0D000000">
      <w:r>
        <w:tab/>
      </w:r>
    </w:p>
    <w:p w14:paraId="0E000000">
      <w:pPr>
        <w:ind w:firstLine="540" w:left="0"/>
        <w:jc w:val="both"/>
        <w:rPr>
          <w:sz w:val="28"/>
        </w:rPr>
      </w:pPr>
      <w:r>
        <w:rPr>
          <w:sz w:val="28"/>
        </w:rPr>
        <w:t>В соответствии со статьями 169 и 173 Бюджетного кодекса Российской Федерации,</w:t>
      </w:r>
      <w:r>
        <w:rPr>
          <w:color w:val="FF0000"/>
          <w:sz w:val="28"/>
        </w:rPr>
        <w:t xml:space="preserve">   </w:t>
      </w:r>
      <w:r>
        <w:rPr>
          <w:sz w:val="28"/>
        </w:rPr>
        <w:t xml:space="preserve">Порядком  разработки прогноза социально-экономического развития Белозерского муниципального района на среднесрочный период, применяемого для составления проекта районного бюджета на очередной финансовый год и плановый период, утвержденным постановлением администрации района  от 03.12.2013 № 1364, </w:t>
      </w:r>
      <w:r>
        <w:rPr>
          <w:sz w:val="28"/>
        </w:rPr>
        <w:t xml:space="preserve"> </w:t>
      </w: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>м Представительного Собрания Белозерского муниципального округа Вологодской области от</w:t>
      </w:r>
      <w:r>
        <w:rPr>
          <w:sz w:val="28"/>
        </w:rPr>
        <w:t xml:space="preserve"> 20.09.2022 № 4 «О вопросах правопреемства органов местного самоуправления»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 администрации района от 12.08.2022  № 282 «О разработке проекта решения Представительного Собрания района «О  бюджете Белозерского муниципального округа на 2023 год и плановый период 2024 – 2025 годов» и об отдельных показателях социально-экономического развития округа на 2023 – 2025 годы» </w:t>
      </w:r>
    </w:p>
    <w:p w14:paraId="0F000000">
      <w:pPr>
        <w:ind w:firstLine="540" w:left="0"/>
        <w:rPr>
          <w:sz w:val="28"/>
        </w:rPr>
      </w:pPr>
    </w:p>
    <w:p w14:paraId="10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ПОСТАНОВЛЯЮ:</w:t>
      </w:r>
    </w:p>
    <w:p w14:paraId="11000000">
      <w:pPr>
        <w:rPr>
          <w:sz w:val="28"/>
        </w:rPr>
      </w:pPr>
    </w:p>
    <w:p w14:paraId="1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Одобрить прилагаемый прогноз социально-экономического развития Белозерского муниципального округа Вологодской области на 2023-2025 годы (основные показатели), применяемый для составления проекта  бюджета Белозерского муниципального округа </w:t>
      </w:r>
      <w:r>
        <w:rPr>
          <w:sz w:val="28"/>
        </w:rPr>
        <w:t>Вологодской области</w:t>
      </w:r>
      <w:r>
        <w:rPr>
          <w:sz w:val="28"/>
        </w:rPr>
        <w:t xml:space="preserve">   на 2023 год и плановый период 2024 и 2025 годов.</w:t>
      </w:r>
    </w:p>
    <w:p w14:paraId="13000000">
      <w:pPr>
        <w:rPr>
          <w:sz w:val="28"/>
        </w:rPr>
      </w:pPr>
    </w:p>
    <w:p w14:paraId="14000000">
      <w:pPr>
        <w:rPr>
          <w:sz w:val="28"/>
        </w:rPr>
      </w:pPr>
    </w:p>
    <w:p w14:paraId="15000000">
      <w:pPr>
        <w:rPr>
          <w:sz w:val="28"/>
        </w:rPr>
      </w:pPr>
    </w:p>
    <w:p w14:paraId="16000000">
      <w:pPr>
        <w:rPr>
          <w:b w:val="1"/>
          <w:sz w:val="28"/>
        </w:rPr>
      </w:pPr>
      <w:r>
        <w:rPr>
          <w:b w:val="1"/>
          <w:sz w:val="28"/>
        </w:rPr>
        <w:t>Руководитель администрации района:                                    Д.А. Соловьев</w:t>
      </w:r>
    </w:p>
    <w:p w14:paraId="1700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14:paraId="18000000">
      <w:pPr>
        <w:rPr>
          <w:b w:val="1"/>
          <w:sz w:val="28"/>
        </w:rPr>
      </w:pPr>
    </w:p>
    <w:p w14:paraId="19000000">
      <w:pPr>
        <w:rPr>
          <w:b w:val="1"/>
          <w:sz w:val="28"/>
        </w:rPr>
      </w:pPr>
    </w:p>
    <w:p w14:paraId="1A000000">
      <w:pPr>
        <w:rPr>
          <w:b w:val="1"/>
          <w:sz w:val="28"/>
        </w:rPr>
      </w:pPr>
    </w:p>
    <w:p w14:paraId="1B000000">
      <w:pPr>
        <w:rPr>
          <w:b w:val="1"/>
          <w:sz w:val="28"/>
        </w:rPr>
      </w:pPr>
    </w:p>
    <w:p w14:paraId="1C000000">
      <w:pPr>
        <w:sectPr>
          <w:pgSz w:h="16837" w:orient="portrait" w:w="11905"/>
          <w:pgMar w:bottom="851" w:footer="720" w:gutter="0" w:header="720" w:left="1701" w:right="851" w:top="284"/>
        </w:sectPr>
      </w:pPr>
    </w:p>
    <w:p w14:paraId="1D000000">
      <w:pPr>
        <w:ind w:firstLine="0" w:left="9720"/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</w:rPr>
        <w:t>Одобрен</w:t>
      </w:r>
      <w:r>
        <w:rPr>
          <w:sz w:val="28"/>
        </w:rPr>
        <w:t xml:space="preserve"> постановлением</w:t>
      </w:r>
    </w:p>
    <w:p w14:paraId="1E000000">
      <w:pPr>
        <w:ind w:firstLine="0" w:left="9720"/>
        <w:jc w:val="center"/>
        <w:rPr>
          <w:sz w:val="28"/>
        </w:rPr>
      </w:pPr>
      <w:r>
        <w:rPr>
          <w:sz w:val="28"/>
        </w:rPr>
        <w:t xml:space="preserve">                        администрации района </w:t>
      </w:r>
    </w:p>
    <w:p w14:paraId="1F000000">
      <w:pPr>
        <w:ind w:firstLine="0" w:left="9720"/>
        <w:jc w:val="center"/>
        <w:rPr>
          <w:sz w:val="28"/>
        </w:rPr>
      </w:pPr>
      <w:r>
        <w:rPr>
          <w:sz w:val="28"/>
        </w:rPr>
        <w:t xml:space="preserve">                     от 11.11.2022  № 413  </w:t>
      </w:r>
    </w:p>
    <w:p w14:paraId="20000000">
      <w:pPr>
        <w:ind w:firstLine="0" w:left="9720"/>
        <w:jc w:val="right"/>
        <w:rPr>
          <w:b w:val="1"/>
          <w:sz w:val="28"/>
        </w:rPr>
      </w:pPr>
    </w:p>
    <w:p w14:paraId="21000000">
      <w:pPr>
        <w:ind w:firstLine="0" w:left="9720"/>
        <w:jc w:val="right"/>
        <w:rPr>
          <w:b w:val="1"/>
          <w:sz w:val="28"/>
        </w:rPr>
      </w:pPr>
    </w:p>
    <w:p w14:paraId="2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Прогноз социально-экономического развития Белозерского муниципального округа </w:t>
      </w:r>
      <w:r>
        <w:rPr>
          <w:b w:val="1"/>
          <w:sz w:val="28"/>
        </w:rPr>
        <w:t>Вологодской области</w:t>
      </w:r>
      <w:r>
        <w:rPr>
          <w:b w:val="1"/>
          <w:sz w:val="28"/>
        </w:rPr>
        <w:t xml:space="preserve">  </w:t>
      </w: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2023-2025 годы</w:t>
      </w: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(основные показатели)</w:t>
      </w:r>
    </w:p>
    <w:p w14:paraId="25000000">
      <w:pPr>
        <w:ind/>
        <w:jc w:val="center"/>
        <w:rPr>
          <w:b w:val="1"/>
          <w:sz w:val="28"/>
        </w:rPr>
      </w:pPr>
    </w:p>
    <w:tbl>
      <w:tblPr>
        <w:tblStyle w:val="Style_4"/>
        <w:tblInd w:type="dxa" w:w="-20"/>
        <w:tblLayout w:type="fixed"/>
      </w:tblPr>
      <w:tblGrid>
        <w:gridCol w:w="5515"/>
        <w:gridCol w:w="1417"/>
        <w:gridCol w:w="1335"/>
        <w:gridCol w:w="1289"/>
        <w:gridCol w:w="1288"/>
        <w:gridCol w:w="1289"/>
        <w:gridCol w:w="1289"/>
        <w:gridCol w:w="1329"/>
      </w:tblGrid>
      <w:tr>
        <w:trPr>
          <w:trHeight w:hRule="atLeast" w:val="162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Основные показатели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В% к 2022 году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В% к 2023 году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В% к 2024 году</w:t>
            </w:r>
          </w:p>
        </w:tc>
      </w:tr>
      <w:tr>
        <w:trPr>
          <w:trHeight w:hRule="atLeast" w:val="162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hRule="atLeast" w:val="581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Среднесписочная численность работников организаций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8000000">
            <w:pPr>
              <w:ind/>
              <w:jc w:val="center"/>
            </w:pPr>
            <w:r>
              <w:t>3596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00000">
            <w:pPr>
              <w:ind/>
              <w:jc w:val="center"/>
            </w:pPr>
            <w:r>
              <w:t>99,4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A000000">
            <w:pPr>
              <w:ind/>
              <w:jc w:val="center"/>
            </w:pPr>
            <w:r>
              <w:t>3596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B00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C000000">
            <w:pPr>
              <w:ind/>
              <w:jc w:val="center"/>
            </w:pPr>
            <w:r>
              <w:t>3595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center"/>
            </w:pPr>
            <w:r>
              <w:t>99,97</w:t>
            </w:r>
          </w:p>
        </w:tc>
      </w:tr>
      <w:tr>
        <w:trPr>
          <w:trHeight w:hRule="atLeast" w:val="550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Фонд начисленной заработной платы работникам организаций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0000000">
            <w:pPr>
              <w:ind/>
              <w:jc w:val="center"/>
            </w:pPr>
            <w:r>
              <w:t>2034431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1000000">
            <w:pPr>
              <w:ind/>
              <w:jc w:val="center"/>
            </w:pPr>
            <w:r>
              <w:t>105,1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2000000">
            <w:pPr>
              <w:ind/>
              <w:jc w:val="center"/>
            </w:pPr>
            <w:r>
              <w:t>2138187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00000">
            <w:pPr>
              <w:ind/>
              <w:jc w:val="center"/>
            </w:pPr>
            <w:r>
              <w:t>105,1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4000000">
            <w:pPr>
              <w:ind/>
              <w:jc w:val="center"/>
            </w:pPr>
            <w:r>
              <w:t>2238059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</w:pPr>
            <w:r>
              <w:t>104,7</w:t>
            </w:r>
          </w:p>
        </w:tc>
      </w:tr>
      <w:tr>
        <w:trPr>
          <w:trHeight w:hRule="atLeast" w:val="162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населения до 18 лет (17 лет включительно),  всего по району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00000">
            <w:pPr>
              <w:ind/>
              <w:jc w:val="center"/>
            </w:pPr>
            <w:r>
              <w:t>2748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00000">
            <w:pPr>
              <w:ind/>
              <w:jc w:val="center"/>
            </w:pPr>
            <w:r>
              <w:t>99,8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00000">
            <w:pPr>
              <w:ind/>
              <w:jc w:val="center"/>
            </w:pPr>
            <w:r>
              <w:t>2742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B000000">
            <w:pPr>
              <w:ind/>
              <w:jc w:val="center"/>
            </w:pPr>
            <w:r>
              <w:t>99,8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00000">
            <w:pPr>
              <w:ind/>
              <w:jc w:val="center"/>
            </w:pPr>
            <w:r>
              <w:t>2726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</w:pPr>
            <w:r>
              <w:t>99,4</w:t>
            </w:r>
          </w:p>
        </w:tc>
      </w:tr>
      <w:tr>
        <w:trPr>
          <w:trHeight w:hRule="atLeast" w:val="162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отгруженных товаров собственного производства, выполненных работ и услуг собственными силами, всего по району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млн. руб.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00000">
            <w:pPr>
              <w:ind/>
              <w:jc w:val="center"/>
            </w:pPr>
            <w:r>
              <w:t>4017,1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00000">
            <w:pPr>
              <w:ind/>
              <w:jc w:val="center"/>
            </w:pPr>
            <w:r>
              <w:t>104,2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2000000">
            <w:pPr>
              <w:ind/>
              <w:jc w:val="center"/>
            </w:pPr>
            <w:r>
              <w:t>4183,2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3000000">
            <w:pPr>
              <w:ind/>
              <w:jc w:val="center"/>
            </w:pPr>
            <w:r>
              <w:t>104,1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4000000">
            <w:pPr>
              <w:ind/>
              <w:jc w:val="center"/>
            </w:pPr>
            <w:r>
              <w:t>4924,92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  <w:r>
              <w:t>117,7</w:t>
            </w:r>
          </w:p>
        </w:tc>
      </w:tr>
      <w:tr>
        <w:trPr>
          <w:trHeight w:hRule="atLeast" w:val="162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платных услуг населению,  всего по району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00000">
            <w:pPr>
              <w:ind/>
              <w:jc w:val="center"/>
            </w:pPr>
            <w:r>
              <w:t>42673,0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9000000">
            <w:pPr>
              <w:ind/>
              <w:jc w:val="center"/>
            </w:pPr>
            <w:r>
              <w:t>102,0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A000000">
            <w:pPr>
              <w:ind/>
              <w:jc w:val="center"/>
            </w:pPr>
            <w:r>
              <w:t>43526,5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00000">
            <w:pPr>
              <w:ind/>
              <w:jc w:val="center"/>
            </w:pPr>
            <w:r>
              <w:t>102,0</w:t>
            </w:r>
          </w:p>
          <w:p w14:paraId="5C000000">
            <w:pPr>
              <w:ind/>
              <w:jc w:val="center"/>
            </w:pP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D000000">
            <w:pPr>
              <w:ind/>
              <w:jc w:val="center"/>
            </w:pPr>
            <w:r>
              <w:t>44397,0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</w:pPr>
            <w:r>
              <w:t>102,0</w:t>
            </w:r>
          </w:p>
        </w:tc>
      </w:tr>
      <w:tr>
        <w:trPr>
          <w:trHeight w:hRule="atLeast" w:val="162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Прибыль прибыльных организаций до налогообложения,  всего по району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1000000">
            <w:pPr>
              <w:ind/>
              <w:jc w:val="center"/>
            </w:pPr>
            <w:r>
              <w:t>71203,0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2000000">
            <w:pPr>
              <w:ind/>
              <w:jc w:val="center"/>
            </w:pPr>
            <w:r>
              <w:t>139,4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3000000">
            <w:pPr>
              <w:ind/>
              <w:jc w:val="center"/>
            </w:pPr>
            <w:r>
              <w:t>126313,5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4000000">
            <w:pPr>
              <w:ind/>
              <w:jc w:val="center"/>
            </w:pPr>
            <w:r>
              <w:t>177,4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00000">
            <w:pPr>
              <w:ind/>
              <w:jc w:val="center"/>
            </w:pPr>
            <w:r>
              <w:t>731535,0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</w:pPr>
            <w:r>
              <w:t>579,1</w:t>
            </w:r>
          </w:p>
        </w:tc>
      </w:tr>
      <w:tr>
        <w:trPr>
          <w:trHeight w:hRule="atLeast" w:val="2156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Остаточная балансовая стоимость основных фондов на конец года по крупным и средним коммерческим организациям (включая структурные подразделения, находящиеся на территории района) без учета вида деятельности «растениеводство и животноводство, охота и предоставление соответствующих услуг в этих областях»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9000000">
            <w:pPr>
              <w:ind/>
              <w:jc w:val="center"/>
            </w:pPr>
            <w:r>
              <w:t>2840000,0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A000000">
            <w:pPr>
              <w:ind/>
              <w:jc w:val="center"/>
            </w:pPr>
            <w:r>
              <w:t>100,6</w:t>
            </w:r>
          </w:p>
          <w:p w14:paraId="6B000000">
            <w:pPr>
              <w:ind/>
              <w:jc w:val="center"/>
            </w:pP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C000000">
            <w:r>
              <w:t>2896000,0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D000000">
            <w:pPr>
              <w:ind/>
              <w:jc w:val="center"/>
            </w:pPr>
            <w:r>
              <w:t>102,0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00000">
            <w:pPr>
              <w:ind/>
              <w:jc w:val="center"/>
            </w:pPr>
            <w:r>
              <w:t>2962000,0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</w:pPr>
            <w:r>
              <w:t>102,3</w:t>
            </w:r>
          </w:p>
        </w:tc>
      </w:tr>
      <w:tr>
        <w:trPr>
          <w:trHeight w:hRule="atLeast" w:val="1056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Ввод в действие новых основных фондов, модернизации, реконструкции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2000000">
            <w:pPr>
              <w:ind/>
              <w:jc w:val="center"/>
            </w:pPr>
            <w:r>
              <w:t>128000,0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3000000">
            <w:pPr>
              <w:ind/>
              <w:jc w:val="center"/>
            </w:pPr>
            <w:r>
              <w:t>37,3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4000000">
            <w:pPr>
              <w:ind/>
              <w:jc w:val="center"/>
            </w:pPr>
            <w:r>
              <w:t>180000,0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5000000">
            <w:pPr>
              <w:ind/>
              <w:jc w:val="center"/>
            </w:pPr>
            <w:r>
              <w:t>140,6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00000">
            <w:pPr>
              <w:ind/>
              <w:jc w:val="center"/>
            </w:pPr>
            <w:r>
              <w:t>210000,0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</w:pPr>
            <w:r>
              <w:t>116,7</w:t>
            </w:r>
          </w:p>
        </w:tc>
      </w:tr>
      <w:tr>
        <w:trPr>
          <w:trHeight w:hRule="atLeast" w:val="719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00000">
            <w:pPr>
              <w:ind/>
              <w:jc w:val="both"/>
              <w:rPr>
                <w:sz w:val="28"/>
              </w:rPr>
            </w:pPr>
            <w:bookmarkStart w:id="1" w:name="_GoBack"/>
            <w:r>
              <w:rPr>
                <w:sz w:val="28"/>
              </w:rPr>
              <w:t xml:space="preserve">Инвестиции в основной капитал по крупным и средним организациям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A000000">
            <w:pPr>
              <w:ind/>
              <w:jc w:val="center"/>
            </w:pPr>
            <w:r>
              <w:t>128000,0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B000000">
            <w:pPr>
              <w:ind/>
              <w:jc w:val="center"/>
            </w:pPr>
            <w:r>
              <w:t>37,3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00000">
            <w:pPr>
              <w:ind/>
              <w:jc w:val="center"/>
            </w:pPr>
            <w:r>
              <w:t>180000,0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D000000">
            <w:pPr>
              <w:ind/>
              <w:jc w:val="center"/>
            </w:pPr>
            <w:r>
              <w:t>140,6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E000000">
            <w:pPr>
              <w:ind/>
              <w:jc w:val="center"/>
            </w:pPr>
            <w:r>
              <w:t>210000,0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</w:pPr>
            <w:r>
              <w:t>116,7</w:t>
            </w:r>
            <w:bookmarkEnd w:id="1"/>
          </w:p>
        </w:tc>
      </w:tr>
      <w:tr>
        <w:trPr>
          <w:trHeight w:hRule="atLeast" w:val="337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Оборот розничной торговли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z w:val="28"/>
              </w:rPr>
            </w:pPr>
          </w:p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млн. руб.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</w:pPr>
            <w:r>
              <w:t xml:space="preserve">1945,6 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</w:pPr>
            <w:r>
              <w:t>102,0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</w:pPr>
            <w:r>
              <w:t>1984,5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</w:pPr>
            <w:r>
              <w:t>102,0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</w:pPr>
            <w:r>
              <w:t>2024,2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color w:themeColor="background1" w:val="FFFFFF"/>
              </w:rPr>
            </w:pPr>
            <w:r>
              <w:t>102,0</w:t>
            </w:r>
          </w:p>
        </w:tc>
      </w:tr>
      <w:tr>
        <w:trPr>
          <w:trHeight w:hRule="atLeast" w:val="200"/>
        </w:trPr>
        <w:tc>
          <w:tcPr>
            <w:tcW w:type="dxa" w:w="55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Оборот общественного питания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млн. руб. 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</w:pPr>
            <w:r>
              <w:t>53,2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</w:pPr>
            <w:r>
              <w:t>102,0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</w:pPr>
            <w:r>
              <w:t>54,3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</w:pPr>
            <w:r>
              <w:t>102,1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</w:pPr>
            <w:r>
              <w:t>55,3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</w:pPr>
            <w:r>
              <w:t>101,8</w:t>
            </w:r>
          </w:p>
        </w:tc>
      </w:tr>
    </w:tbl>
    <w:p w14:paraId="91000000"/>
    <w:sectPr>
      <w:pgSz w:h="11905" w:orient="landscape" w:w="16837"/>
      <w:pgMar w:bottom="851" w:footer="720" w:gutter="0" w:header="720" w:left="1418" w:right="567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alloon Text"/>
    <w:basedOn w:val="Style_5"/>
    <w:link w:val="Style_8_ch"/>
    <w:rPr>
      <w:rFonts w:ascii="Tahoma" w:hAnsi="Tahoma"/>
      <w:sz w:val="16"/>
    </w:rPr>
  </w:style>
  <w:style w:styleId="Style_8_ch" w:type="character">
    <w:name w:val="Balloon Text"/>
    <w:basedOn w:val="Style_5_ch"/>
    <w:link w:val="Style_8"/>
    <w:rPr>
      <w:rFonts w:ascii="Tahoma" w:hAnsi="Tahoma"/>
      <w:sz w:val="16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Содержимое таблицы"/>
    <w:basedOn w:val="Style_5"/>
    <w:link w:val="Style_11_ch"/>
  </w:style>
  <w:style w:styleId="Style_11_ch" w:type="character">
    <w:name w:val="Содержимое таблицы"/>
    <w:basedOn w:val="Style_5_ch"/>
    <w:link w:val="Style_11"/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Указатель1"/>
    <w:basedOn w:val="Style_5"/>
    <w:link w:val="Style_14_ch"/>
  </w:style>
  <w:style w:styleId="Style_14_ch" w:type="character">
    <w:name w:val="Указатель1"/>
    <w:basedOn w:val="Style_5_ch"/>
    <w:link w:val="Style_14"/>
  </w:style>
  <w:style w:styleId="Style_2" w:type="paragraph">
    <w:name w:val="Номер страницы1"/>
    <w:basedOn w:val="Style_15"/>
    <w:link w:val="Style_2_ch"/>
  </w:style>
  <w:style w:styleId="Style_2_ch" w:type="character">
    <w:name w:val="Номер страницы1"/>
    <w:basedOn w:val="Style_15_ch"/>
    <w:link w:val="Style_2"/>
  </w:style>
  <w:style w:styleId="Style_16" w:type="paragraph">
    <w:name w:val="List"/>
    <w:basedOn w:val="Style_17"/>
    <w:link w:val="Style_16_ch"/>
  </w:style>
  <w:style w:styleId="Style_16_ch" w:type="character">
    <w:name w:val="List"/>
    <w:basedOn w:val="Style_17_ch"/>
    <w:link w:val="Style_16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Absatz-Standardschriftart"/>
    <w:link w:val="Style_19_ch"/>
  </w:style>
  <w:style w:styleId="Style_19_ch" w:type="character">
    <w:name w:val="Absatz-Standardschriftart"/>
    <w:link w:val="Style_19"/>
  </w:style>
  <w:style w:styleId="Style_20" w:type="paragraph">
    <w:name w:val="toc 3"/>
    <w:next w:val="Style_5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Название1"/>
    <w:basedOn w:val="Style_5"/>
    <w:link w:val="Style_21_ch"/>
    <w:pPr>
      <w:spacing w:after="120" w:before="120"/>
      <w:ind/>
    </w:pPr>
    <w:rPr>
      <w:i w:val="1"/>
    </w:rPr>
  </w:style>
  <w:style w:styleId="Style_21_ch" w:type="character">
    <w:name w:val="Название1"/>
    <w:basedOn w:val="Style_5_ch"/>
    <w:link w:val="Style_21"/>
    <w:rPr>
      <w:i w:val="1"/>
    </w:rPr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Заголовок таблицы"/>
    <w:basedOn w:val="Style_11"/>
    <w:link w:val="Style_23_ch"/>
    <w:pPr>
      <w:ind/>
      <w:jc w:val="center"/>
    </w:pPr>
    <w:rPr>
      <w:b w:val="1"/>
    </w:rPr>
  </w:style>
  <w:style w:styleId="Style_23_ch" w:type="character">
    <w:name w:val="Заголовок таблицы"/>
    <w:basedOn w:val="Style_11_ch"/>
    <w:link w:val="Style_23"/>
    <w:rPr>
      <w:b w:val="1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Заголовок 3 Знак"/>
    <w:link w:val="Style_25_ch"/>
    <w:rPr>
      <w:rFonts w:ascii="XO Thames" w:hAnsi="XO Thames"/>
      <w:b w:val="1"/>
      <w:sz w:val="26"/>
    </w:rPr>
  </w:style>
  <w:style w:styleId="Style_25_ch" w:type="character">
    <w:name w:val="Заголовок 3 Знак"/>
    <w:link w:val="Style_25"/>
    <w:rPr>
      <w:rFonts w:ascii="XO Thames" w:hAnsi="XO Thames"/>
      <w:b w:val="1"/>
      <w:sz w:val="26"/>
    </w:rPr>
  </w:style>
  <w:style w:styleId="Style_26" w:type="paragraph">
    <w:name w:val="heading 5"/>
    <w:next w:val="Style_5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ind/>
      <w:jc w:val="both"/>
      <w:outlineLvl w:val="0"/>
    </w:pPr>
    <w:rPr>
      <w:sz w:val="32"/>
    </w:rPr>
  </w:style>
  <w:style w:styleId="Style_3_ch" w:type="character">
    <w:name w:val="heading 1"/>
    <w:basedOn w:val="Style_5_ch"/>
    <w:link w:val="Style_3"/>
    <w:rPr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5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31" w:type="paragraph">
    <w:name w:val="toc 9"/>
    <w:next w:val="Style_5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5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Заголовок"/>
    <w:basedOn w:val="Style_5"/>
    <w:next w:val="Style_17"/>
    <w:link w:val="Style_33_ch"/>
    <w:pPr>
      <w:keepNext w:val="1"/>
      <w:spacing w:after="120" w:before="240"/>
      <w:ind/>
    </w:pPr>
    <w:rPr>
      <w:rFonts w:ascii="Arial" w:hAnsi="Arial"/>
      <w:sz w:val="28"/>
    </w:rPr>
  </w:style>
  <w:style w:styleId="Style_33_ch" w:type="character">
    <w:name w:val="Заголовок"/>
    <w:basedOn w:val="Style_5_ch"/>
    <w:link w:val="Style_33"/>
    <w:rPr>
      <w:rFonts w:ascii="Arial" w:hAnsi="Arial"/>
      <w:sz w:val="28"/>
    </w:rPr>
  </w:style>
  <w:style w:styleId="Style_17" w:type="paragraph">
    <w:name w:val="Body Text"/>
    <w:basedOn w:val="Style_5"/>
    <w:link w:val="Style_17_ch"/>
    <w:pPr>
      <w:spacing w:after="120"/>
      <w:ind/>
    </w:pPr>
  </w:style>
  <w:style w:styleId="Style_17_ch" w:type="character">
    <w:name w:val="Body Text"/>
    <w:basedOn w:val="Style_5_ch"/>
    <w:link w:val="Style_17"/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oc 5"/>
    <w:next w:val="Style_5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ConsPlusTitle"/>
    <w:link w:val="Style_37_ch"/>
    <w:pPr>
      <w:widowControl w:val="0"/>
      <w:ind/>
    </w:pPr>
    <w:rPr>
      <w:b w:val="1"/>
      <w:sz w:val="28"/>
    </w:rPr>
  </w:style>
  <w:style w:styleId="Style_37_ch" w:type="character">
    <w:name w:val="ConsPlusTitle"/>
    <w:link w:val="Style_37"/>
    <w:rPr>
      <w:b w:val="1"/>
      <w:sz w:val="28"/>
    </w:rPr>
  </w:style>
  <w:style w:styleId="Style_38" w:type="paragraph">
    <w:name w:val="ConsPlusNonformat"/>
    <w:link w:val="Style_38_ch"/>
    <w:pPr>
      <w:widowControl w:val="0"/>
      <w:ind/>
    </w:pPr>
    <w:rPr>
      <w:rFonts w:ascii="Courier New" w:hAnsi="Courier New"/>
    </w:rPr>
  </w:style>
  <w:style w:styleId="Style_38_ch" w:type="character">
    <w:name w:val="ConsPlusNonformat"/>
    <w:link w:val="Style_38"/>
    <w:rPr>
      <w:rFonts w:ascii="Courier New" w:hAnsi="Courier New"/>
    </w:rPr>
  </w:style>
  <w:style w:styleId="Style_39" w:type="paragraph">
    <w:name w:val="Subtitle"/>
    <w:basedOn w:val="Style_5"/>
    <w:next w:val="Style_17"/>
    <w:link w:val="Style_39_ch"/>
    <w:uiPriority w:val="11"/>
    <w:qFormat/>
    <w:pPr>
      <w:ind/>
      <w:jc w:val="center"/>
    </w:pPr>
    <w:rPr>
      <w:sz w:val="32"/>
    </w:rPr>
  </w:style>
  <w:style w:styleId="Style_39_ch" w:type="character">
    <w:name w:val="Subtitle"/>
    <w:basedOn w:val="Style_5_ch"/>
    <w:link w:val="Style_39"/>
    <w:rPr>
      <w:sz w:val="32"/>
    </w:rPr>
  </w:style>
  <w:style w:styleId="Style_1" w:type="paragraph">
    <w:name w:val="Title"/>
    <w:basedOn w:val="Style_5"/>
    <w:next w:val="Style_39"/>
    <w:link w:val="Style_1_ch"/>
    <w:uiPriority w:val="10"/>
    <w:qFormat/>
    <w:pPr>
      <w:ind/>
      <w:jc w:val="center"/>
    </w:pPr>
    <w:rPr>
      <w:b w:val="1"/>
      <w:sz w:val="36"/>
    </w:rPr>
  </w:style>
  <w:style w:styleId="Style_1_ch" w:type="character">
    <w:name w:val="Title"/>
    <w:basedOn w:val="Style_5_ch"/>
    <w:link w:val="Style_1"/>
    <w:rPr>
      <w:b w:val="1"/>
      <w:sz w:val="36"/>
    </w:rPr>
  </w:style>
  <w:style w:styleId="Style_40" w:type="paragraph">
    <w:name w:val="heading 4"/>
    <w:next w:val="Style_5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Обычный1"/>
    <w:link w:val="Style_41_ch"/>
    <w:rPr>
      <w:sz w:val="24"/>
    </w:rPr>
  </w:style>
  <w:style w:styleId="Style_41_ch" w:type="character">
    <w:name w:val="Обычный1"/>
    <w:link w:val="Style_41"/>
    <w:rPr>
      <w:sz w:val="24"/>
    </w:rPr>
  </w:style>
  <w:style w:styleId="Style_42" w:type="paragraph">
    <w:name w:val="heading 2"/>
    <w:next w:val="Style_5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2022-11-14T13:50:12Z</dcterms:modified>
</cp:coreProperties>
</file>